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51" w:leader="none"/>
        </w:tabs>
        <w:spacing w:before="0" w:after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Приложение 4 к годовому отчету </w:t>
      </w:r>
    </w:p>
    <w:p>
      <w:pPr>
        <w:pStyle w:val="Normal"/>
        <w:tabs>
          <w:tab w:val="clear" w:pos="708"/>
          <w:tab w:val="left" w:pos="4251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Перечень лучших практик </w:t>
      </w:r>
      <w:r>
        <w:rPr>
          <w:rFonts w:cs="Times New Roman" w:ascii="Times New Roman" w:hAnsi="Times New Roman"/>
          <w:sz w:val="28"/>
          <w:szCs w:val="26"/>
        </w:rPr>
        <w:t>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«Смартека», принятых муниципальным образованием Краснодарского края для пилотной апробации (внедрения).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Style w:val="a6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5"/>
        <w:gridCol w:w="2891"/>
        <w:gridCol w:w="1786"/>
        <w:gridCol w:w="2384"/>
        <w:gridCol w:w="3109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ru-RU" w:bidi="ar-SA"/>
              </w:rPr>
              <w:t>п/п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ru-RU" w:bidi="ar-SA"/>
              </w:rPr>
              <w:t>Наименование практики</w:t>
            </w:r>
          </w:p>
        </w:tc>
        <w:tc>
          <w:tcPr>
            <w:tcW w:w="2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ru-RU" w:bidi="ar-SA"/>
              </w:rPr>
              <w:t>Наименование субъекта РФ (разработчика практики)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Номинация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6"/>
                <w:lang w:val="ru-RU" w:eastAsia="ru-RU" w:bidi="ar-SA"/>
              </w:rPr>
              <w:t xml:space="preserve">Этап внедрения практики в муниципальном образовании 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6"/>
                <w:lang w:val="ru-RU" w:eastAsia="ru-RU" w:bidi="ar-SA"/>
              </w:rPr>
              <w:t>Перечень достигнутых (или планируемых) результатов по итогам внедрения практики *</w:t>
            </w:r>
          </w:p>
        </w:tc>
      </w:tr>
      <w:tr>
        <w:trPr/>
        <w:tc>
          <w:tcPr>
            <w:tcW w:w="70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68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«Прогулка с врачом»</w:t>
            </w:r>
          </w:p>
        </w:tc>
        <w:tc>
          <w:tcPr>
            <w:tcW w:w="289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Приморский край</w:t>
            </w:r>
          </w:p>
        </w:tc>
        <w:tc>
          <w:tcPr>
            <w:tcW w:w="17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Здравоохранение</w:t>
            </w:r>
          </w:p>
        </w:tc>
        <w:tc>
          <w:tcPr>
            <w:tcW w:w="23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Рассматривается к внедрению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физически активного населения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  <w:t>«Открытый муниципалитет»</w:t>
            </w:r>
          </w:p>
        </w:tc>
        <w:tc>
          <w:tcPr>
            <w:tcW w:w="2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  <w:t>Амурская область</w:t>
            </w:r>
          </w:p>
        </w:tc>
        <w:tc>
          <w:tcPr>
            <w:tcW w:w="17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  <w:t>Эффективное управление</w:t>
            </w:r>
          </w:p>
        </w:tc>
        <w:tc>
          <w:tcPr>
            <w:tcW w:w="23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  <w:t>Принято к внедрению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За 202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3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 год было рассмотрено 1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855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 письменных обращений. В 202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 году эта цифра была 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1456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. Также на личных приемах руководством района и поселений принято 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1020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 человек, из них 1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03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 — главой администрации муниципального образования Кореновский район. </w:t>
              <w:tab/>
              <w:t xml:space="preserve">Все обращения жителей рассмотрены, требования разъяснены. 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-141" w:hanging="0"/>
              <w:jc w:val="both"/>
              <w:rPr/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Все обращения жителей рассмотрены, требования разъяснены. </w:t>
            </w:r>
            <w:bookmarkStart w:id="0" w:name="__DdeLink__34874_132005562"/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Style w:val="Style17"/>
                <w:rFonts w:ascii="Times New Roman" w:hAnsi="Times New Roman" w:eastAsia="Calibri" w:cs="" w:cstheme="minorBidi" w:eastAsiaTheme="minorHAnsi"/>
                <w:b w:val="false"/>
                <w:b w:val="false"/>
                <w:bCs w:val="false"/>
                <w:i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</w:r>
            <w:bookmarkEnd w:id="0"/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D1333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D1333"/>
                <w:sz w:val="22"/>
                <w:szCs w:val="22"/>
                <w:lang w:eastAsia="ru-RU"/>
              </w:rPr>
              <w:t xml:space="preserve">«Адаптационная группа кратковременного пребывания детей раннего возраста» 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Амурская область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238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Принято к внедрению.</w:t>
            </w:r>
          </w:p>
        </w:tc>
        <w:tc>
          <w:tcPr>
            <w:tcW w:w="310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Дети, посещающие группу «Кроха», при зачислении в МДОБУ показали следующие результаты: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202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-202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3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. Легкая адаптация (8-16 дней) у детей составила 54%;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Средняя адаптация (до 30 дней) — 45%;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Тяжелая адаптация (свыше 30 дней) — 1%.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7"/>
                <w:rFonts w:ascii="Times New Roman" w:hAnsi="Times New Roman" w:eastAsia="Calibri" w:cs="" w:cstheme="minorBidi" w:eastAsiaTheme="minorHAnsi"/>
                <w:b w:val="false"/>
                <w:b w:val="false"/>
                <w:bCs w:val="false"/>
                <w:i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202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1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-202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.Легкая адаптация (8-16 дней) у детей составила 54%;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Средняя адаптация (до 30 дней) — 45%;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Тяжелая адаптация (свыше 30 дней) — 1%.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7"/>
                <w:rFonts w:ascii="Times New Roman" w:hAnsi="Times New Roman" w:eastAsia="Calibri" w:cs="" w:cstheme="minorBidi" w:eastAsiaTheme="minorHAnsi"/>
                <w:b w:val="false"/>
                <w:b w:val="false"/>
                <w:bCs w:val="false"/>
                <w:i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20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20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-202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1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. Легкая адаптация (8-16 дней) у детей составила 45%;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Средняя адаптация (до 30 дней) — 52%;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1D1333"/>
                <w:lang w:eastAsia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Тяжелая адаптация (свыше 30 дней) — 3%.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D1333"/>
                <w:spacing w:val="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Сеть классов «АйТиЛаб» и «РобоЛаб»: бесплатное дополнительное IT-образование школьников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D1333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ru-RU"/>
              </w:rPr>
              <w:t xml:space="preserve"> 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>Тюменская область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238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Принято к внедрению.</w:t>
            </w:r>
          </w:p>
        </w:tc>
        <w:tc>
          <w:tcPr>
            <w:tcW w:w="31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Увеличение количества абитуриентов, выбирающих направления ИТ-профиля,  — в 1,5 раза. Выпускники классов поступают в КУбГУ, Краснодарский университет. Количество классов, реализующих данные образовательные программы — 10 классов. Более 5000 тысяч обучающихся задействованы в данном направлении.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D1333"/>
                <w:spacing w:val="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D1333"/>
                <w:spacing w:val="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«Благоустройство городского пляжа в городе Ипатово (в границах х. Бондаревский и х. Кочержинский) Ипатовского городского округа Ставропольского края»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D1333"/>
                <w:spacing w:val="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D1333"/>
                <w:spacing w:val="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D1333"/>
                <w:spacing w:val="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D1333"/>
                <w:spacing w:val="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Ставропольский край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238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Принято к внедрению</w:t>
            </w:r>
          </w:p>
        </w:tc>
        <w:tc>
          <w:tcPr>
            <w:tcW w:w="31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color w:val="auto"/>
                <w:kern w:val="0"/>
                <w:sz w:val="22"/>
                <w:szCs w:val="22"/>
                <w:lang w:val="ru-RU" w:eastAsia="en-US" w:bidi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При реализации практики использовались современные методы, технологии и материалы. Обеспечены благоприятные условия для жизни населения, создано общественное пространство, отвечающее современному уровню качества городской среды (функциональное разнообразие, комфорт и безопасность).На общественной территории организованы различные виды отдыха и зоны активности для жителей, учитывающие интересы разных групп пользователей: по возрасту, активности, уровню культуры, увлечениям и прочее.</w:t>
            </w:r>
          </w:p>
          <w:p>
            <w:pPr>
              <w:pStyle w:val="Style19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color w:val="auto"/>
                <w:kern w:val="0"/>
                <w:sz w:val="22"/>
                <w:szCs w:val="22"/>
                <w:shd w:fill="auto" w:val="clear"/>
                <w:lang w:val="ru-RU" w:eastAsia="en-US" w:bidi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       </w:t>
            </w: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 xml:space="preserve">В ходе благоустройства были проведены: установка навесов от солнца, установка раздевалок и велопарковки, автомобильной парковки, установка информационных щитов и обозначающих знаков в детской и взрослой купальных зонах на водной глади (установка буйков), обустройство уличного освещения. Кроме того, обустроена спортивно-игровая зона: детской площадки,  волейбольного поля.                       </w:t>
            </w:r>
          </w:p>
          <w:p>
            <w:pPr>
              <w:pStyle w:val="Style19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 w:val="false"/>
                <w:color w:val="auto"/>
                <w:sz w:val="22"/>
                <w:szCs w:val="22"/>
                <w:shd w:fill="auto" w:val="clear"/>
                <w:lang w:bidi="ru-RU"/>
              </w:rPr>
            </w:pPr>
            <w:r>
              <w:rPr>
                <w:rStyle w:val="Style17"/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ru-RU" w:eastAsia="en-US" w:bidi="ar-SA"/>
              </w:rPr>
              <w:t>Проведение указанных мероприятий позволило увеличить посещение пляжной территории гражданами на 30%. Также посещение гражданами с ограниченными возможностями.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* Результаты указываются в измеримых количественных или качественных показателях</w:t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1134" w:header="709" w:top="1701" w:footer="0" w:bottom="567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rightMargin">
                <wp:posOffset>0</wp:posOffset>
              </wp:positionH>
              <wp:positionV relativeFrom="page">
                <wp:posOffset>0</wp:posOffset>
              </wp:positionV>
              <wp:extent cx="764540" cy="897890"/>
              <wp:effectExtent l="0" t="0" r="0" b="0"/>
              <wp:wrapNone/>
              <wp:docPr id="1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" cy="89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708747328"/>
                          </w:sdtPr>
                          <w:sdtContent>
                            <w:p>
                              <w:pPr>
                                <w:pStyle w:val="Style26"/>
                                <w:spacing w:before="0" w:after="160"/>
                                <w:jc w:val="center"/>
                                <w:rPr>
                                  <w:rFonts w:ascii="Times New Roman" w:hAnsi="Times New Roman" w:eastAsia="" w:cs="Times New Roman" w:eastAsiaTheme="majorEastAsia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eastAsia="" w:cs="Times New Roman" w:ascii="Times New Roman" w:hAnsi="Times New Roman"/>
                                  <w:color w:val="000000"/>
                                  <w:sz w:val="28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  <w:color w:val="000000"/>
                                </w:rPr>
                                <w:instrText> PAGE </w:instrText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" rot="5400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3" path="m0,0l-2147483645,0l-2147483645,-2147483646l0,-2147483646xe" fillcolor="white" stroked="f" style="position:absolute;margin-left:0pt;margin-top:0pt;width:60.1pt;height:70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959349224"/>
                    </w:sdtPr>
                    <w:sdtContent>
                      <w:p>
                        <w:pPr>
                          <w:pStyle w:val="Style26"/>
                          <w:spacing w:before="0" w:after="160"/>
                          <w:jc w:val="center"/>
                          <w:rPr>
                            <w:rFonts w:ascii="Times New Roman" w:hAnsi="Times New Roman" w:eastAsia="" w:cs="Times New Roman" w:eastAsiaTheme="majorEastAsia"/>
                            <w:sz w:val="28"/>
                            <w:szCs w:val="24"/>
                          </w:rPr>
                        </w:pPr>
                        <w:r>
                          <w:rPr>
                            <w:rFonts w:eastAsia="" w:cs="Times New Roman" w:ascii="Times New Roman" w:hAnsi="Times New Roman"/>
                            <w:color w:val="000000"/>
                            <w:sz w:val="28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  <w:color w:val="000000"/>
                          </w:rPr>
                          <w:instrText> PAGE </w:instrText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  <w:color w:val="000000"/>
                          </w:rPr>
                          <w:t>3</w:t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clear" w:pos="4677"/>
        <w:tab w:val="clear" w:pos="9355"/>
        <w:tab w:val="left" w:pos="6330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079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1a0796"/>
    <w:rPr/>
  </w:style>
  <w:style w:type="character" w:styleId="Categoryname2t9xb" w:customStyle="1">
    <w:name w:val="category__name_2t9xb"/>
    <w:basedOn w:val="DefaultParagraphFont"/>
    <w:qFormat/>
    <w:rsid w:val="001a4e66"/>
    <w:rPr/>
  </w:style>
  <w:style w:type="character" w:styleId="Practiceinfotitle3vuxg" w:customStyle="1">
    <w:name w:val="practice-info__title_3vuxg"/>
    <w:basedOn w:val="DefaultParagraphFont"/>
    <w:qFormat/>
    <w:rsid w:val="00f673c9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3b3067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367b9"/>
    <w:rPr>
      <w:rFonts w:ascii="Segoe UI" w:hAnsi="Segoe UI" w:cs="Segoe UI"/>
      <w:sz w:val="18"/>
      <w:szCs w:val="18"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1a07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e52b5"/>
    <w:pPr>
      <w:spacing w:before="0" w:after="160"/>
      <w:ind w:left="720" w:hanging="0"/>
      <w:contextualSpacing/>
    </w:pPr>
    <w:rPr/>
  </w:style>
  <w:style w:type="paragraph" w:styleId="Style25">
    <w:name w:val="Footer"/>
    <w:basedOn w:val="Normal"/>
    <w:link w:val="a8"/>
    <w:uiPriority w:val="99"/>
    <w:unhideWhenUsed/>
    <w:rsid w:val="003b30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367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Содержимое врезки"/>
    <w:basedOn w:val="Normal"/>
    <w:qFormat/>
    <w:pPr/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Calibri" w:cs="Times New Roman" w:eastAsiaTheme="minorHAns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en-US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DF28-F002-4F68-A234-604A32A5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Application>LibreOffice/7.1.2.2$Windows_X86_64 LibreOffice_project/8a45595d069ef5570103caea1b71cc9d82b2aae4</Application>
  <AppVersion>15.0000</AppVersion>
  <Pages>3</Pages>
  <Words>418</Words>
  <Characters>3079</Characters>
  <CharactersWithSpaces>3496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2020-12-02T06:49:00Z</dcterms:created>
  <dc:creator>Александр А. Панченко</dc:creator>
  <dc:description/>
  <dc:language>ru-RU</dc:language>
  <cp:lastModifiedBy/>
  <cp:lastPrinted>2022-02-04T14:29:06Z</cp:lastPrinted>
  <dcterms:modified xsi:type="dcterms:W3CDTF">2024-02-01T14:36:40Z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